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E86EBF" w14:paraId="071D2EC8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56965FA" w14:textId="77777777" w:rsidR="00041727" w:rsidRPr="00E86EBF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E86EB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E86EB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E86EB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477A01E2" w14:textId="77777777" w:rsidR="00041727" w:rsidRPr="00E86EBF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E86EB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ADEC8D4" wp14:editId="6FCB1F9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E86EBF">
              <w:rPr>
                <w:rStyle w:val="StyleComplex11ptBoldAccent1"/>
                <w:lang w:val="es-ES"/>
              </w:rPr>
              <w:t>Organización Meteorológica Mundial</w:t>
            </w:r>
          </w:p>
          <w:p w14:paraId="2EA721AE" w14:textId="77777777" w:rsidR="00041727" w:rsidRPr="00E86EBF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E86EB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5CC3DD3C" w14:textId="77777777" w:rsidR="00041727" w:rsidRPr="00E86EBF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86EB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E86EB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E86EB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E86EBF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610B3C82" w14:textId="516F86CA" w:rsidR="00041727" w:rsidRPr="00E86EBF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86EB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E86EB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378BC" w:rsidRPr="00E86EB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6.3(3) </w:t>
            </w:r>
          </w:p>
        </w:tc>
      </w:tr>
      <w:tr w:rsidR="00041727" w:rsidRPr="00E86EBF" w14:paraId="3E336F2C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98632F" w14:textId="77777777" w:rsidR="00041727" w:rsidRPr="00E86EB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221C237" w14:textId="77777777" w:rsidR="00041727" w:rsidRPr="00E86EB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24247E0A" w14:textId="5C2BE6F7" w:rsidR="00041727" w:rsidRPr="00E86EBF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E86EBF">
              <w:rPr>
                <w:lang w:val="es-ES"/>
              </w:rPr>
              <w:t>Presentado por</w:t>
            </w:r>
            <w:r w:rsidR="00041727" w:rsidRPr="00E86EBF">
              <w:rPr>
                <w:lang w:val="es-ES"/>
              </w:rPr>
              <w:t>:</w:t>
            </w:r>
            <w:r w:rsidR="00041727" w:rsidRPr="00E86EBF">
              <w:rPr>
                <w:lang w:val="es-ES"/>
              </w:rPr>
              <w:br/>
            </w:r>
            <w:r w:rsidR="007378BC" w:rsidRPr="00E86EBF">
              <w:rPr>
                <w:bCs/>
                <w:color w:val="365F91"/>
                <w:lang w:val="es-ES"/>
              </w:rPr>
              <w:t>Secretario General</w:t>
            </w:r>
            <w:r w:rsidR="007378BC" w:rsidRPr="00E86EBF">
              <w:rPr>
                <w:lang w:val="es-ES"/>
              </w:rPr>
              <w:t xml:space="preserve"> </w:t>
            </w:r>
          </w:p>
          <w:p w14:paraId="2704191B" w14:textId="020898ED" w:rsidR="00041727" w:rsidRPr="00E86EBF" w:rsidRDefault="007378BC" w:rsidP="00527225">
            <w:pPr>
              <w:pStyle w:val="StyleComplexTahomaComplex11ptAccent1RightAfter-"/>
              <w:rPr>
                <w:lang w:val="es-ES"/>
              </w:rPr>
            </w:pPr>
            <w:r w:rsidRPr="00E86EBF">
              <w:rPr>
                <w:bCs/>
                <w:color w:val="365F91"/>
                <w:lang w:val="es-ES"/>
              </w:rPr>
              <w:t>31</w:t>
            </w:r>
            <w:r w:rsidR="00527225" w:rsidRPr="00E86EBF">
              <w:rPr>
                <w:lang w:val="es-ES"/>
              </w:rPr>
              <w:t>.</w:t>
            </w:r>
            <w:r w:rsidRPr="00E86EBF">
              <w:rPr>
                <w:lang w:val="es-ES"/>
              </w:rPr>
              <w:t>III</w:t>
            </w:r>
            <w:r w:rsidR="00A41E35" w:rsidRPr="00E86EBF">
              <w:rPr>
                <w:lang w:val="es-ES"/>
              </w:rPr>
              <w:t>.202</w:t>
            </w:r>
            <w:r w:rsidR="00C42ABF" w:rsidRPr="00E86EBF">
              <w:rPr>
                <w:lang w:val="es-ES"/>
              </w:rPr>
              <w:t>3</w:t>
            </w:r>
          </w:p>
          <w:p w14:paraId="6343E19F" w14:textId="77777777" w:rsidR="00041727" w:rsidRPr="00E86EBF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86EB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563CBFBA" w14:textId="1CE4D325" w:rsidR="00C4470F" w:rsidRPr="00E86EBF" w:rsidRDefault="001527A3" w:rsidP="00514EAC">
      <w:pPr>
        <w:pStyle w:val="WMOBodyText"/>
        <w:ind w:left="3969" w:hanging="3969"/>
        <w:rPr>
          <w:b/>
          <w:lang w:val="es-ES"/>
        </w:rPr>
      </w:pPr>
      <w:r w:rsidRPr="00E86EBF">
        <w:rPr>
          <w:b/>
          <w:lang w:val="es-ES"/>
        </w:rPr>
        <w:t xml:space="preserve">PUNTO </w:t>
      </w:r>
      <w:r w:rsidR="007378BC" w:rsidRPr="00E86EBF">
        <w:rPr>
          <w:b/>
          <w:lang w:val="es-ES"/>
        </w:rPr>
        <w:t>6</w:t>
      </w:r>
      <w:r w:rsidRPr="00E86EBF">
        <w:rPr>
          <w:b/>
          <w:lang w:val="es-ES"/>
        </w:rPr>
        <w:t xml:space="preserve"> DEL ORDEN DEL DÍA:</w:t>
      </w:r>
      <w:r w:rsidR="00A41E35" w:rsidRPr="00E86EBF">
        <w:rPr>
          <w:b/>
          <w:lang w:val="es-ES"/>
        </w:rPr>
        <w:tab/>
      </w:r>
      <w:r w:rsidR="007378BC" w:rsidRPr="00E86EBF">
        <w:rPr>
          <w:b/>
          <w:lang w:val="es-ES"/>
        </w:rPr>
        <w:t>CUESTIONES GENERALES, JURÍDICAS, REGLAMENTARIAS, FINANCIERAS, ADMINISTRATIVAS Y DE POLÍTICA</w:t>
      </w:r>
    </w:p>
    <w:p w14:paraId="73942D1E" w14:textId="2BC922DB" w:rsidR="001527A3" w:rsidRPr="00E86EBF" w:rsidRDefault="001527A3" w:rsidP="001527A3">
      <w:pPr>
        <w:pStyle w:val="WMOBodyText"/>
        <w:ind w:left="3969" w:hanging="3969"/>
        <w:rPr>
          <w:b/>
          <w:lang w:val="es-ES"/>
        </w:rPr>
      </w:pPr>
      <w:r w:rsidRPr="00E86EBF">
        <w:rPr>
          <w:b/>
          <w:lang w:val="es-ES"/>
        </w:rPr>
        <w:t xml:space="preserve">PUNTO </w:t>
      </w:r>
      <w:r w:rsidR="007378BC" w:rsidRPr="00E86EBF">
        <w:rPr>
          <w:b/>
          <w:lang w:val="es-ES"/>
        </w:rPr>
        <w:t>6.3</w:t>
      </w:r>
      <w:r w:rsidRPr="00E86EBF">
        <w:rPr>
          <w:b/>
          <w:lang w:val="es-ES"/>
        </w:rPr>
        <w:t>:</w:t>
      </w:r>
      <w:r w:rsidRPr="00E86EBF">
        <w:rPr>
          <w:b/>
          <w:lang w:val="es-ES"/>
        </w:rPr>
        <w:tab/>
      </w:r>
      <w:r w:rsidR="007378BC" w:rsidRPr="00E86EBF">
        <w:rPr>
          <w:b/>
          <w:lang w:val="es-ES"/>
        </w:rPr>
        <w:t>Cuestiones financieras</w:t>
      </w:r>
    </w:p>
    <w:p w14:paraId="3CC59E02" w14:textId="03018953" w:rsidR="00814CC6" w:rsidRPr="00E86EBF" w:rsidRDefault="007378BC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E86EBF">
        <w:rPr>
          <w:lang w:val="es-ES"/>
        </w:rPr>
        <w:t>FONDO DE OPERACIONES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5228B8" w14:paraId="06CA0B13" w14:textId="77777777" w:rsidTr="008D34AF">
        <w:trPr>
          <w:jc w:val="center"/>
        </w:trPr>
        <w:tc>
          <w:tcPr>
            <w:tcW w:w="9526" w:type="dxa"/>
          </w:tcPr>
          <w:p w14:paraId="044B8EBE" w14:textId="77777777" w:rsidR="00D262BA" w:rsidRPr="00E86EBF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E86EBF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61AFC498" w14:textId="10A39F5F" w:rsidR="00D262BA" w:rsidRPr="00E86EB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6EBF">
              <w:rPr>
                <w:b/>
                <w:bCs/>
                <w:lang w:val="es-ES"/>
              </w:rPr>
              <w:t>Documento presentado por:</w:t>
            </w:r>
            <w:r w:rsidRPr="00E86EBF">
              <w:rPr>
                <w:lang w:val="es-ES"/>
              </w:rPr>
              <w:t xml:space="preserve"> </w:t>
            </w:r>
            <w:r w:rsidR="007378BC" w:rsidRPr="00E86EBF">
              <w:rPr>
                <w:lang w:val="es-ES"/>
              </w:rPr>
              <w:t>el Secretario General.</w:t>
            </w:r>
          </w:p>
          <w:p w14:paraId="2F15F68D" w14:textId="35870B60" w:rsidR="00D262BA" w:rsidRPr="00E86EBF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E86EBF">
              <w:rPr>
                <w:b/>
                <w:bCs/>
                <w:lang w:val="es-ES"/>
              </w:rPr>
              <w:t xml:space="preserve">Objetivo estratégico para 2020-2023: </w:t>
            </w:r>
            <w:r w:rsidR="007378BC" w:rsidRPr="00E86EBF">
              <w:rPr>
                <w:bCs/>
                <w:lang w:val="es-ES"/>
              </w:rPr>
              <w:t>todos</w:t>
            </w:r>
            <w:r w:rsidR="008D34AF" w:rsidRPr="00E86EBF">
              <w:rPr>
                <w:bCs/>
                <w:lang w:val="es-ES"/>
              </w:rPr>
              <w:t>.</w:t>
            </w:r>
            <w:r w:rsidR="005228B8">
              <w:rPr>
                <w:bCs/>
                <w:lang w:val="es-ES"/>
              </w:rPr>
              <w:t xml:space="preserve"> </w:t>
            </w:r>
          </w:p>
          <w:p w14:paraId="78A0584F" w14:textId="6809D395" w:rsidR="00D262BA" w:rsidRPr="00E86EB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6EBF">
              <w:rPr>
                <w:b/>
                <w:bCs/>
                <w:lang w:val="es-ES"/>
              </w:rPr>
              <w:t>Consecuencias financieras y administrativas:</w:t>
            </w:r>
            <w:r w:rsidRPr="00E86EBF">
              <w:rPr>
                <w:lang w:val="es-ES"/>
              </w:rPr>
              <w:t xml:space="preserve"> </w:t>
            </w:r>
            <w:r w:rsidR="007378BC" w:rsidRPr="00E86EBF">
              <w:rPr>
                <w:lang w:val="es-ES"/>
              </w:rPr>
              <w:t>define el nivel proporcional de las contribuciones que debe abonar cada Miembro.</w:t>
            </w:r>
          </w:p>
          <w:p w14:paraId="3A68CDC7" w14:textId="08E77FC3" w:rsidR="00D262BA" w:rsidRPr="00E86EB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6EBF">
              <w:rPr>
                <w:b/>
                <w:bCs/>
                <w:lang w:val="es-ES"/>
              </w:rPr>
              <w:t>Principales encargados de la ejecución:</w:t>
            </w:r>
            <w:r w:rsidR="007378BC" w:rsidRPr="00E86EBF">
              <w:rPr>
                <w:lang w:val="es-ES"/>
              </w:rPr>
              <w:t xml:space="preserve"> </w:t>
            </w:r>
            <w:r w:rsidR="007378BC" w:rsidRPr="00E86EBF">
              <w:rPr>
                <w:bCs/>
                <w:lang w:val="es-ES"/>
              </w:rPr>
              <w:t>la Secretaría y el Consejo Ejecutivo.</w:t>
            </w:r>
          </w:p>
          <w:p w14:paraId="61AB2787" w14:textId="68FC4B70" w:rsidR="00D262BA" w:rsidRPr="00E86EB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6EBF">
              <w:rPr>
                <w:b/>
                <w:bCs/>
                <w:lang w:val="es-ES"/>
              </w:rPr>
              <w:t>Cronograma:</w:t>
            </w:r>
            <w:r w:rsidRPr="00E86EBF">
              <w:rPr>
                <w:lang w:val="es-ES"/>
              </w:rPr>
              <w:t xml:space="preserve"> </w:t>
            </w:r>
            <w:r w:rsidR="007378BC" w:rsidRPr="00E86EBF">
              <w:rPr>
                <w:lang w:val="es-ES"/>
              </w:rPr>
              <w:t>2024-2027</w:t>
            </w:r>
            <w:r w:rsidR="008D34AF" w:rsidRPr="00E86EBF">
              <w:rPr>
                <w:bCs/>
                <w:lang w:val="es-ES"/>
              </w:rPr>
              <w:t>.</w:t>
            </w:r>
          </w:p>
          <w:p w14:paraId="7E1856E2" w14:textId="26EB92BB" w:rsidR="00D262BA" w:rsidRPr="00E86EBF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E86EBF">
              <w:rPr>
                <w:b/>
                <w:bCs/>
                <w:lang w:val="es-ES"/>
              </w:rPr>
              <w:t>Medida prevista:</w:t>
            </w:r>
            <w:r w:rsidRPr="00E86EBF">
              <w:rPr>
                <w:lang w:val="es-ES"/>
              </w:rPr>
              <w:t xml:space="preserve"> </w:t>
            </w:r>
            <w:r w:rsidR="007378BC" w:rsidRPr="00E86EBF">
              <w:rPr>
                <w:lang w:val="es-ES"/>
              </w:rPr>
              <w:t>aprobar el proyecto de resolución propuesto</w:t>
            </w:r>
            <w:r w:rsidR="008D34AF" w:rsidRPr="00E86EBF">
              <w:rPr>
                <w:bCs/>
                <w:lang w:val="es-ES"/>
              </w:rPr>
              <w:t>.</w:t>
            </w:r>
          </w:p>
        </w:tc>
      </w:tr>
    </w:tbl>
    <w:p w14:paraId="10178BD5" w14:textId="77777777" w:rsidR="00D262BA" w:rsidRPr="00E86EBF" w:rsidRDefault="00D262BA" w:rsidP="00EC7CF5">
      <w:pPr>
        <w:pStyle w:val="WMOBodyText"/>
        <w:spacing w:before="0"/>
        <w:rPr>
          <w:lang w:val="es-ES"/>
        </w:rPr>
      </w:pPr>
    </w:p>
    <w:p w14:paraId="725C1922" w14:textId="77777777" w:rsidR="0047720E" w:rsidRPr="00E86EBF" w:rsidRDefault="00B01B02">
      <w:pPr>
        <w:tabs>
          <w:tab w:val="clear" w:pos="1134"/>
        </w:tabs>
        <w:jc w:val="left"/>
        <w:rPr>
          <w:lang w:val="es-ES"/>
        </w:rPr>
      </w:pPr>
      <w:r w:rsidRPr="00E86EBF">
        <w:rPr>
          <w:lang w:val="es-ES"/>
        </w:rPr>
        <w:br w:type="page"/>
      </w:r>
    </w:p>
    <w:p w14:paraId="0CBD956C" w14:textId="60282E02" w:rsidR="00814CC6" w:rsidRPr="00E86EBF" w:rsidRDefault="001527A3" w:rsidP="001D3CFB">
      <w:pPr>
        <w:pStyle w:val="Heading1"/>
        <w:rPr>
          <w:lang w:val="es-ES"/>
        </w:rPr>
      </w:pPr>
      <w:r w:rsidRPr="00E86EBF">
        <w:rPr>
          <w:lang w:val="es-ES"/>
        </w:rPr>
        <w:lastRenderedPageBreak/>
        <w:t>PROYECTO DE RESOLUCIÓN</w:t>
      </w:r>
    </w:p>
    <w:p w14:paraId="601A031C" w14:textId="1DF446EF" w:rsidR="00814CC6" w:rsidRPr="00E86EBF" w:rsidRDefault="001527A3" w:rsidP="001527A3">
      <w:pPr>
        <w:pStyle w:val="Heading2"/>
        <w:rPr>
          <w:lang w:val="es-ES"/>
        </w:rPr>
      </w:pPr>
      <w:r w:rsidRPr="00E86EBF">
        <w:rPr>
          <w:lang w:val="es-ES"/>
        </w:rPr>
        <w:t xml:space="preserve">Proyecto de Resolución </w:t>
      </w:r>
      <w:r w:rsidR="001672B3" w:rsidRPr="00E86EBF">
        <w:rPr>
          <w:lang w:val="es-ES"/>
        </w:rPr>
        <w:t>6.3(3)</w:t>
      </w:r>
      <w:r w:rsidRPr="00E86EBF">
        <w:rPr>
          <w:lang w:val="es-ES"/>
        </w:rPr>
        <w:t>/1</w:t>
      </w:r>
      <w:r w:rsidR="00814CC6" w:rsidRPr="00E86EBF">
        <w:rPr>
          <w:lang w:val="es-ES"/>
        </w:rPr>
        <w:t xml:space="preserve"> </w:t>
      </w:r>
      <w:r w:rsidR="00A41E35" w:rsidRPr="00E86EBF">
        <w:rPr>
          <w:lang w:val="es-ES"/>
        </w:rPr>
        <w:t>(</w:t>
      </w:r>
      <w:r w:rsidR="001E6FA8" w:rsidRPr="00E86EBF">
        <w:rPr>
          <w:lang w:val="es-ES"/>
        </w:rPr>
        <w:t>Cg-19</w:t>
      </w:r>
      <w:r w:rsidR="00A41E35" w:rsidRPr="00E86EBF">
        <w:rPr>
          <w:lang w:val="es-ES"/>
        </w:rPr>
        <w:t>)</w:t>
      </w:r>
    </w:p>
    <w:p w14:paraId="60F62FD2" w14:textId="68D3ED8A" w:rsidR="00814CC6" w:rsidRPr="00E86EBF" w:rsidRDefault="001672B3" w:rsidP="001D3CFB">
      <w:pPr>
        <w:pStyle w:val="Heading2"/>
        <w:rPr>
          <w:lang w:val="es-ES"/>
        </w:rPr>
      </w:pPr>
      <w:r w:rsidRPr="00E86EBF">
        <w:rPr>
          <w:lang w:val="es-ES"/>
        </w:rPr>
        <w:t>Fondo de Operaciones</w:t>
      </w:r>
    </w:p>
    <w:p w14:paraId="5F9585A5" w14:textId="77777777" w:rsidR="002204FD" w:rsidRPr="00E86EBF" w:rsidRDefault="001E6FA8" w:rsidP="003245D3">
      <w:pPr>
        <w:pStyle w:val="WMOBodyText"/>
        <w:rPr>
          <w:lang w:val="es-ES"/>
        </w:rPr>
      </w:pPr>
      <w:r w:rsidRPr="00E86EBF">
        <w:rPr>
          <w:lang w:val="es-ES"/>
        </w:rPr>
        <w:t>El CONGRESO METEOROLÓGICO MUNDIAL</w:t>
      </w:r>
      <w:r w:rsidR="001527A3" w:rsidRPr="00E86EBF">
        <w:rPr>
          <w:lang w:val="es-ES"/>
        </w:rPr>
        <w:t>,</w:t>
      </w:r>
    </w:p>
    <w:p w14:paraId="08BAA03F" w14:textId="77777777" w:rsidR="001672B3" w:rsidRPr="00E86EBF" w:rsidRDefault="001672B3" w:rsidP="001672B3">
      <w:pPr>
        <w:pStyle w:val="WMOBodyText"/>
        <w:rPr>
          <w:b/>
          <w:bCs/>
          <w:lang w:val="es-ES"/>
        </w:rPr>
      </w:pPr>
      <w:r w:rsidRPr="00E86EBF">
        <w:rPr>
          <w:b/>
          <w:bCs/>
          <w:lang w:val="es-ES"/>
        </w:rPr>
        <w:t>Notando</w:t>
      </w:r>
      <w:r w:rsidRPr="00E86EBF">
        <w:rPr>
          <w:lang w:val="es-ES"/>
        </w:rPr>
        <w:t>:</w:t>
      </w:r>
    </w:p>
    <w:p w14:paraId="7AA23F7D" w14:textId="20C02D23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1)</w:t>
      </w:r>
      <w:r w:rsidRPr="00E86EBF">
        <w:rPr>
          <w:lang w:val="es-ES"/>
        </w:rPr>
        <w:tab/>
        <w:t xml:space="preserve">el </w:t>
      </w:r>
      <w:hyperlink r:id="rId12" w:anchor="page=129" w:history="1">
        <w:r w:rsidRPr="00E86EBF">
          <w:rPr>
            <w:rStyle w:val="Hyperlink"/>
            <w:lang w:val="es-ES"/>
          </w:rPr>
          <w:t>artículo 8</w:t>
        </w:r>
      </w:hyperlink>
      <w:r w:rsidRPr="00E86EBF">
        <w:rPr>
          <w:lang w:val="es-ES"/>
        </w:rPr>
        <w:t xml:space="preserve"> y el </w:t>
      </w:r>
      <w:hyperlink r:id="rId13" w:anchor="page=131" w:history="1">
        <w:r w:rsidRPr="00E86EBF">
          <w:rPr>
            <w:rStyle w:val="Hyperlink"/>
            <w:lang w:val="es-ES"/>
          </w:rPr>
          <w:t>artículo 9</w:t>
        </w:r>
      </w:hyperlink>
      <w:r w:rsidRPr="00E86EBF">
        <w:rPr>
          <w:lang w:val="es-ES"/>
        </w:rPr>
        <w:t xml:space="preserve"> del Reglamento Financiero de la Organización,</w:t>
      </w:r>
    </w:p>
    <w:p w14:paraId="3D6A9DDD" w14:textId="4F1A44F0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2)</w:t>
      </w:r>
      <w:r w:rsidRPr="00E86EBF">
        <w:rPr>
          <w:lang w:val="es-ES"/>
        </w:rPr>
        <w:tab/>
        <w:t xml:space="preserve">la </w:t>
      </w:r>
      <w:hyperlink r:id="rId14" w:anchor="page=289" w:history="1">
        <w:r w:rsidRPr="00E86EBF">
          <w:rPr>
            <w:rStyle w:val="Hyperlink"/>
            <w:lang w:val="es-ES"/>
          </w:rPr>
          <w:t>Resolución 42 (Cg-XV)</w:t>
        </w:r>
      </w:hyperlink>
      <w:r w:rsidRPr="00E86EBF">
        <w:rPr>
          <w:lang w:val="es-ES"/>
        </w:rPr>
        <w:t xml:space="preserve"> — Fondo de Operaciones,</w:t>
      </w:r>
    </w:p>
    <w:p w14:paraId="3E370013" w14:textId="3296A2B6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3)</w:t>
      </w:r>
      <w:r w:rsidRPr="00E86EBF">
        <w:rPr>
          <w:lang w:val="es-ES"/>
        </w:rPr>
        <w:tab/>
        <w:t xml:space="preserve">la </w:t>
      </w:r>
      <w:hyperlink r:id="rId15" w:anchor="page=158" w:history="1">
        <w:r w:rsidRPr="00E86EBF">
          <w:rPr>
            <w:rStyle w:val="Hyperlink"/>
            <w:lang w:val="es-ES"/>
          </w:rPr>
          <w:t>Resolución 15 (EC-LXI)</w:t>
        </w:r>
      </w:hyperlink>
      <w:r w:rsidRPr="00E86EBF">
        <w:rPr>
          <w:lang w:val="es-ES"/>
        </w:rPr>
        <w:t xml:space="preserve"> — Financiación del déficit del capital del Fondo de Operaciones,</w:t>
      </w:r>
    </w:p>
    <w:p w14:paraId="5F0ABC1B" w14:textId="77777777" w:rsidR="001672B3" w:rsidRPr="00E86EBF" w:rsidRDefault="001672B3" w:rsidP="001672B3">
      <w:pPr>
        <w:pStyle w:val="WMOBodyText"/>
        <w:rPr>
          <w:b/>
          <w:bCs/>
          <w:lang w:val="es-ES"/>
        </w:rPr>
      </w:pPr>
      <w:r w:rsidRPr="00E86EBF">
        <w:rPr>
          <w:b/>
          <w:bCs/>
          <w:lang w:val="es-ES"/>
        </w:rPr>
        <w:t>Decide</w:t>
      </w:r>
      <w:r w:rsidRPr="00E86EBF">
        <w:rPr>
          <w:lang w:val="es-ES"/>
        </w:rPr>
        <w:t>:</w:t>
      </w:r>
    </w:p>
    <w:p w14:paraId="39DF4488" w14:textId="77777777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1)</w:t>
      </w:r>
      <w:r w:rsidRPr="00E86EBF">
        <w:rPr>
          <w:lang w:val="es-ES"/>
        </w:rPr>
        <w:tab/>
        <w:t>que el Fondo de Operaciones se siga manteniendo para los fines siguientes:</w:t>
      </w:r>
    </w:p>
    <w:p w14:paraId="4554DE63" w14:textId="77777777" w:rsidR="001672B3" w:rsidRPr="00E86EBF" w:rsidRDefault="001672B3" w:rsidP="001672B3">
      <w:pPr>
        <w:pStyle w:val="WMOIndent2"/>
        <w:rPr>
          <w:lang w:val="es-ES"/>
        </w:rPr>
      </w:pPr>
      <w:r w:rsidRPr="00E86EBF">
        <w:rPr>
          <w:lang w:val="es-ES"/>
        </w:rPr>
        <w:t>a)</w:t>
      </w:r>
      <w:r w:rsidRPr="00E86EBF">
        <w:rPr>
          <w:lang w:val="es-ES"/>
        </w:rPr>
        <w:tab/>
        <w:t>financiar las consignaciones presupuestarias hasta que se reciban las contribuciones;</w:t>
      </w:r>
    </w:p>
    <w:p w14:paraId="63E452A8" w14:textId="5774ACA4" w:rsidR="001672B3" w:rsidRPr="00E86EBF" w:rsidRDefault="001672B3" w:rsidP="001672B3">
      <w:pPr>
        <w:pStyle w:val="WMOIndent2"/>
        <w:rPr>
          <w:lang w:val="es-ES"/>
        </w:rPr>
      </w:pPr>
      <w:r w:rsidRPr="00E86EBF">
        <w:rPr>
          <w:lang w:val="es-ES"/>
        </w:rPr>
        <w:t>b)</w:t>
      </w:r>
      <w:r w:rsidRPr="00E86EBF">
        <w:rPr>
          <w:lang w:val="es-ES"/>
        </w:rPr>
        <w:tab/>
        <w:t xml:space="preserve">anticipar las sumas que puedan ser necesarias para cubrir los gastos imprevistos </w:t>
      </w:r>
      <w:r w:rsidR="00884391">
        <w:rPr>
          <w:lang w:val="es-ES"/>
        </w:rPr>
        <w:br/>
      </w:r>
      <w:r w:rsidRPr="00E86EBF">
        <w:rPr>
          <w:lang w:val="es-ES"/>
        </w:rPr>
        <w:t>y extraordinarios que no se puedan financiar con los créditos presupuestarios disponibles;</w:t>
      </w:r>
    </w:p>
    <w:p w14:paraId="4943D6F0" w14:textId="3A29B312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2)</w:t>
      </w:r>
      <w:r w:rsidRPr="00E86EBF">
        <w:rPr>
          <w:lang w:val="es-ES"/>
        </w:rPr>
        <w:tab/>
        <w:t>que el capital del Fondo de Operaciones se mantenga, durante el decimonoveno período financiero, en 7,5</w:t>
      </w:r>
      <w:r w:rsidR="003C0E9F" w:rsidRPr="00E86EBF">
        <w:rPr>
          <w:lang w:val="es-ES"/>
        </w:rPr>
        <w:t> </w:t>
      </w:r>
      <w:r w:rsidRPr="00E86EBF">
        <w:rPr>
          <w:lang w:val="es-ES"/>
        </w:rPr>
        <w:t>millones de francos suizos;</w:t>
      </w:r>
    </w:p>
    <w:p w14:paraId="4A99A235" w14:textId="00359D17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3)</w:t>
      </w:r>
      <w:r w:rsidRPr="00E86EBF">
        <w:rPr>
          <w:lang w:val="es-ES"/>
        </w:rPr>
        <w:tab/>
        <w:t>que el importe del anticipo fijado actualmente para cada Miembro s</w:t>
      </w:r>
      <w:r w:rsidR="003C0E9F" w:rsidRPr="00E86EBF">
        <w:rPr>
          <w:lang w:val="es-ES"/>
        </w:rPr>
        <w:t xml:space="preserve">iga </w:t>
      </w:r>
      <w:r w:rsidRPr="00E86EBF">
        <w:rPr>
          <w:lang w:val="es-ES"/>
        </w:rPr>
        <w:t>congel</w:t>
      </w:r>
      <w:r w:rsidR="003C0E9F" w:rsidRPr="00E86EBF">
        <w:rPr>
          <w:lang w:val="es-ES"/>
        </w:rPr>
        <w:t>ado</w:t>
      </w:r>
      <w:r w:rsidRPr="00E86EBF">
        <w:rPr>
          <w:lang w:val="es-ES"/>
        </w:rPr>
        <w:t xml:space="preserve"> al nivel fijado para el decimocuarto período financiero, no obstante lo dispuesto en el artículo</w:t>
      </w:r>
      <w:r w:rsidR="00297CA3">
        <w:rPr>
          <w:lang w:val="es-ES"/>
        </w:rPr>
        <w:t> </w:t>
      </w:r>
      <w:r w:rsidRPr="00E86EBF">
        <w:rPr>
          <w:lang w:val="es-ES"/>
        </w:rPr>
        <w:t>9.3 del Reglamento Financiero;</w:t>
      </w:r>
    </w:p>
    <w:p w14:paraId="02F0B01D" w14:textId="6E0DB598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4)</w:t>
      </w:r>
      <w:r w:rsidRPr="00E86EBF">
        <w:rPr>
          <w:lang w:val="es-ES"/>
        </w:rPr>
        <w:tab/>
        <w:t>que el déficit del capital, a saber, 900</w:t>
      </w:r>
      <w:r w:rsidR="003C0E9F" w:rsidRPr="00E86EBF">
        <w:rPr>
          <w:lang w:val="es-ES"/>
        </w:rPr>
        <w:t> </w:t>
      </w:r>
      <w:r w:rsidRPr="00E86EBF">
        <w:rPr>
          <w:lang w:val="es-ES"/>
        </w:rPr>
        <w:t>000</w:t>
      </w:r>
      <w:r w:rsidR="003C0E9F" w:rsidRPr="00E86EBF">
        <w:rPr>
          <w:lang w:val="es-ES"/>
        </w:rPr>
        <w:t> </w:t>
      </w:r>
      <w:r w:rsidRPr="00E86EBF">
        <w:rPr>
          <w:lang w:val="es-ES"/>
        </w:rPr>
        <w:t>francos suizos, se cubrirá con los intereses devengados por las inversiones del efectivo disponible en el Fondo de Operaciones;</w:t>
      </w:r>
    </w:p>
    <w:p w14:paraId="66A0E861" w14:textId="07022B5D" w:rsidR="001672B3" w:rsidRPr="00E86EBF" w:rsidRDefault="001672B3" w:rsidP="001672B3">
      <w:pPr>
        <w:pStyle w:val="WMOIndent1"/>
        <w:rPr>
          <w:lang w:val="es-ES"/>
        </w:rPr>
      </w:pPr>
      <w:r w:rsidRPr="00E86EBF">
        <w:rPr>
          <w:lang w:val="es-ES"/>
        </w:rPr>
        <w:t>5)</w:t>
      </w:r>
      <w:r w:rsidRPr="00E86EBF">
        <w:rPr>
          <w:lang w:val="es-ES"/>
        </w:rPr>
        <w:tab/>
        <w:t xml:space="preserve">que el importe de los anticipos de los nuevos Miembros que se adhieran a la Organización </w:t>
      </w:r>
      <w:r w:rsidR="0051351F">
        <w:rPr>
          <w:lang w:val="es-ES"/>
        </w:rPr>
        <w:t xml:space="preserve">Meteorológica Mundial </w:t>
      </w:r>
      <w:r w:rsidRPr="00E86EBF">
        <w:rPr>
          <w:lang w:val="es-ES"/>
        </w:rPr>
        <w:t xml:space="preserve">después del 1 de enero de 2024 se calculará con arreglo a la escala de contribuciones en vigor para el año de adhesión a la </w:t>
      </w:r>
      <w:r w:rsidR="006612CD" w:rsidRPr="00E86EBF">
        <w:rPr>
          <w:lang w:val="es-ES"/>
        </w:rPr>
        <w:t>Organización</w:t>
      </w:r>
      <w:r w:rsidRPr="00E86EBF">
        <w:rPr>
          <w:lang w:val="es-ES"/>
        </w:rPr>
        <w:t>.</w:t>
      </w:r>
    </w:p>
    <w:p w14:paraId="45FFB2A6" w14:textId="77777777" w:rsidR="001672B3" w:rsidRPr="00E86EBF" w:rsidRDefault="001672B3" w:rsidP="001672B3">
      <w:pPr>
        <w:pStyle w:val="WMOBodyText"/>
        <w:jc w:val="center"/>
        <w:rPr>
          <w:lang w:val="es-ES"/>
        </w:rPr>
      </w:pPr>
      <w:r w:rsidRPr="00E86EBF">
        <w:rPr>
          <w:lang w:val="es-ES"/>
        </w:rPr>
        <w:t>__________</w:t>
      </w:r>
    </w:p>
    <w:p w14:paraId="0DA170D1" w14:textId="77777777" w:rsidR="00157949" w:rsidRPr="00E86EBF" w:rsidRDefault="00157949" w:rsidP="00E47778">
      <w:pPr>
        <w:pStyle w:val="WMONote"/>
        <w:rPr>
          <w:lang w:val="es-ES"/>
        </w:rPr>
      </w:pPr>
      <w:r w:rsidRPr="00E86EBF">
        <w:rPr>
          <w:lang w:val="es-ES"/>
        </w:rPr>
        <w:t>______</w:t>
      </w:r>
      <w:r w:rsidR="00ED709D" w:rsidRPr="00E86EBF">
        <w:rPr>
          <w:lang w:val="es-ES"/>
        </w:rPr>
        <w:t>_</w:t>
      </w:r>
    </w:p>
    <w:p w14:paraId="0571B435" w14:textId="3587A77B" w:rsidR="001527A3" w:rsidRPr="00E86EBF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E86EBF">
        <w:rPr>
          <w:lang w:val="es-ES"/>
        </w:rPr>
        <w:t>Nota:</w:t>
      </w:r>
      <w:r w:rsidR="00ED709D" w:rsidRPr="00E86EBF">
        <w:rPr>
          <w:lang w:val="es-ES"/>
        </w:rPr>
        <w:tab/>
      </w:r>
      <w:r w:rsidRPr="00E86EBF">
        <w:rPr>
          <w:lang w:val="es-ES"/>
        </w:rPr>
        <w:t xml:space="preserve">La presente </w:t>
      </w:r>
      <w:r w:rsidR="003C0E9F" w:rsidRPr="00E86EBF">
        <w:rPr>
          <w:lang w:val="es-ES"/>
        </w:rPr>
        <w:t>r</w:t>
      </w:r>
      <w:r w:rsidRPr="00E86EBF">
        <w:rPr>
          <w:lang w:val="es-ES"/>
        </w:rPr>
        <w:t xml:space="preserve">esolución sustituye a la </w:t>
      </w:r>
      <w:hyperlink r:id="rId16" w:anchor="page=336" w:history="1">
        <w:r w:rsidRPr="00E86EBF">
          <w:rPr>
            <w:rStyle w:val="Hyperlink"/>
            <w:lang w:val="es-ES"/>
          </w:rPr>
          <w:t xml:space="preserve">Resolución </w:t>
        </w:r>
        <w:r w:rsidR="003C0E9F" w:rsidRPr="00E86EBF">
          <w:rPr>
            <w:rStyle w:val="Hyperlink"/>
            <w:lang w:val="es-ES"/>
          </w:rPr>
          <w:t>85</w:t>
        </w:r>
        <w:r w:rsidRPr="00E86EBF">
          <w:rPr>
            <w:rStyle w:val="Hyperlink"/>
            <w:lang w:val="es-ES"/>
          </w:rPr>
          <w:t xml:space="preserve"> (</w:t>
        </w:r>
        <w:r w:rsidR="003C0E9F" w:rsidRPr="00E86EBF">
          <w:rPr>
            <w:rStyle w:val="Hyperlink"/>
            <w:lang w:val="es-ES"/>
          </w:rPr>
          <w:t>Cg-18</w:t>
        </w:r>
        <w:r w:rsidRPr="00E86EBF">
          <w:rPr>
            <w:rStyle w:val="Hyperlink"/>
            <w:lang w:val="es-ES"/>
          </w:rPr>
          <w:t>)</w:t>
        </w:r>
      </w:hyperlink>
      <w:r w:rsidR="001815AA" w:rsidRPr="00E86EBF">
        <w:rPr>
          <w:lang w:val="es-ES"/>
        </w:rPr>
        <w:t xml:space="preserve"> — Fondo de Operaciones</w:t>
      </w:r>
      <w:r w:rsidRPr="00E86EBF">
        <w:rPr>
          <w:lang w:val="es-ES"/>
        </w:rPr>
        <w:t xml:space="preserve">, </w:t>
      </w:r>
      <w:r w:rsidR="003C0E9F" w:rsidRPr="00E86EBF">
        <w:rPr>
          <w:lang w:val="es-ES"/>
        </w:rPr>
        <w:t>que estará en vigor hasta el 31 de diciembre de 2023</w:t>
      </w:r>
      <w:r w:rsidRPr="00E86EBF">
        <w:rPr>
          <w:lang w:val="es-ES"/>
        </w:rPr>
        <w:t>.</w:t>
      </w:r>
    </w:p>
    <w:sectPr w:rsidR="001527A3" w:rsidRPr="00E86EBF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9725" w14:textId="77777777" w:rsidR="00F85EDA" w:rsidRDefault="00F85EDA">
      <w:r>
        <w:separator/>
      </w:r>
    </w:p>
    <w:p w14:paraId="69C619EA" w14:textId="77777777" w:rsidR="00F85EDA" w:rsidRDefault="00F85EDA"/>
    <w:p w14:paraId="6FDD1E0A" w14:textId="77777777" w:rsidR="00F85EDA" w:rsidRDefault="00F85EDA"/>
  </w:endnote>
  <w:endnote w:type="continuationSeparator" w:id="0">
    <w:p w14:paraId="0BFC5545" w14:textId="77777777" w:rsidR="00F85EDA" w:rsidRDefault="00F85EDA">
      <w:r>
        <w:continuationSeparator/>
      </w:r>
    </w:p>
    <w:p w14:paraId="6A5FE46C" w14:textId="77777777" w:rsidR="00F85EDA" w:rsidRDefault="00F85EDA"/>
    <w:p w14:paraId="7BCAF173" w14:textId="77777777" w:rsidR="00F85EDA" w:rsidRDefault="00F85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901D" w14:textId="77777777" w:rsidR="00F85EDA" w:rsidRDefault="00F85EDA">
      <w:r>
        <w:separator/>
      </w:r>
    </w:p>
  </w:footnote>
  <w:footnote w:type="continuationSeparator" w:id="0">
    <w:p w14:paraId="2F155177" w14:textId="77777777" w:rsidR="00F85EDA" w:rsidRDefault="00F85EDA">
      <w:r>
        <w:continuationSeparator/>
      </w:r>
    </w:p>
    <w:p w14:paraId="5FE31BC5" w14:textId="77777777" w:rsidR="00F85EDA" w:rsidRDefault="00F85EDA"/>
    <w:p w14:paraId="26AD30BB" w14:textId="77777777" w:rsidR="00F85EDA" w:rsidRDefault="00F85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FAFD" w14:textId="29F407A2" w:rsidR="003C5AB0" w:rsidRDefault="002331ED" w:rsidP="007A7971">
    <w:pPr>
      <w:pStyle w:val="Header"/>
    </w:pPr>
    <w:r>
      <w:t>Cg-19</w:t>
    </w:r>
    <w:r w:rsidR="003C5AB0">
      <w:t xml:space="preserve">/Doc. </w:t>
    </w:r>
    <w:r w:rsidR="007378BC">
      <w:t>6.3(3)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932D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BC"/>
    <w:rsid w:val="00001E4F"/>
    <w:rsid w:val="0000502B"/>
    <w:rsid w:val="00007FC7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672B3"/>
    <w:rsid w:val="00172A8F"/>
    <w:rsid w:val="00180771"/>
    <w:rsid w:val="001815AA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97CA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0E9F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351F"/>
    <w:rsid w:val="00514EAC"/>
    <w:rsid w:val="00521EA5"/>
    <w:rsid w:val="005228B8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D6A5F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12CD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378BC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4391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BF7E7F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86EBF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2EC2"/>
    <w:rsid w:val="00F84DD2"/>
    <w:rsid w:val="00F85EDA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1DCCF"/>
  <w15:docId w15:val="{E38D670B-A5DD-47A7-B554-B07EAD9E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01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130F5-7E09-4F93-8DC8-1FE9F81EED2B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38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9</cp:revision>
  <cp:lastPrinted>2013-03-12T09:27:00Z</cp:lastPrinted>
  <dcterms:created xsi:type="dcterms:W3CDTF">2023-04-11T10:11:00Z</dcterms:created>
  <dcterms:modified xsi:type="dcterms:W3CDTF">2023-04-11T11:43:00Z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